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EAE4012" w:rsidR="00F92268" w:rsidRPr="00AB4D92" w:rsidRDefault="003064CA" w:rsidP="00A11907">
            <w:pPr>
              <w:pStyle w:val="Body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6816</w:t>
            </w:r>
            <w:r w:rsidR="00A11907" w:rsidRPr="00AB4D92">
              <w:rPr>
                <w:sz w:val="16"/>
                <w:szCs w:val="16"/>
              </w:rPr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06F7C77" w:rsidR="004B15BB" w:rsidRPr="00BD1CC1" w:rsidRDefault="00A11907" w:rsidP="007E5C16">
      <w:pPr>
        <w:pStyle w:val="Heading1"/>
      </w:pPr>
      <w:r>
        <w:t>Specialty Guideline Management</w:t>
      </w:r>
      <w:r w:rsidR="008C54D9" w:rsidRPr="00BD1CC1">
        <w:br/>
      </w:r>
      <w:r w:rsidR="003064CA">
        <w:rPr>
          <w:rStyle w:val="normaltextrun"/>
          <w:rFonts w:ascii="Arial" w:hAnsi="Arial" w:cs="Arial"/>
        </w:rPr>
        <w:t>Datroway</w:t>
      </w:r>
    </w:p>
    <w:p w14:paraId="78861C92" w14:textId="03DD1C54" w:rsidR="00203468" w:rsidRPr="00BF6000" w:rsidRDefault="00C64534" w:rsidP="008E0F0D">
      <w:pPr>
        <w:pStyle w:val="Heading2"/>
      </w:pPr>
      <w:r w:rsidRPr="00BF6000">
        <w:t xml:space="preserve">Products Referenced by this </w:t>
      </w:r>
      <w:r w:rsidR="00501602" w:rsidRPr="00BF6000">
        <w:t>Document</w:t>
      </w:r>
    </w:p>
    <w:p w14:paraId="5455152B" w14:textId="0EFF50C5" w:rsidR="008E0F0D" w:rsidRPr="00BF6000" w:rsidRDefault="00D82D85" w:rsidP="008B73E8">
      <w:pPr>
        <w:pStyle w:val="BodyText"/>
      </w:pPr>
      <w:r w:rsidRPr="00BF6000">
        <w:t xml:space="preserve">Drugs that are listed in the </w:t>
      </w:r>
      <w:r w:rsidR="000315F1" w:rsidRPr="00BF6000">
        <w:t>following table</w:t>
      </w:r>
      <w:r w:rsidRPr="00BF6000">
        <w:t xml:space="preserve"> include both brand and generic and all dosage forms and strengths unless otherwise stated. </w:t>
      </w:r>
      <w:r w:rsidR="00F11DB4" w:rsidRPr="00BF6000">
        <w:t>Over-the-counter (</w:t>
      </w:r>
      <w:r w:rsidRPr="00BF6000">
        <w:t>OTC</w:t>
      </w:r>
      <w:r w:rsidR="00F11DB4" w:rsidRPr="00BF6000">
        <w:t>)</w:t>
      </w:r>
      <w:r w:rsidRPr="00BF600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F6000" w:rsidRPr="00BF6000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F6000" w:rsidRDefault="00252CE1" w:rsidP="00AA1E6A">
            <w:pPr>
              <w:pStyle w:val="TableHeader"/>
            </w:pPr>
            <w:bookmarkStart w:id="0" w:name="_Hlk159603270"/>
            <w:r w:rsidRPr="00BF6000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F6000" w:rsidRDefault="00252CE1" w:rsidP="00AA1E6A">
            <w:pPr>
              <w:pStyle w:val="TableHeader"/>
            </w:pPr>
            <w:r w:rsidRPr="00BF6000">
              <w:t>Generic Name</w:t>
            </w:r>
          </w:p>
        </w:tc>
      </w:tr>
      <w:tr w:rsidR="00BF6000" w:rsidRPr="00BF6000" w14:paraId="2AD5C02D" w14:textId="77777777" w:rsidTr="000C5A6F">
        <w:trPr>
          <w:cantSplit/>
        </w:trPr>
        <w:tc>
          <w:tcPr>
            <w:tcW w:w="5265" w:type="dxa"/>
          </w:tcPr>
          <w:p w14:paraId="2D8FA8E3" w14:textId="25D768B3" w:rsidR="00585FFF" w:rsidRPr="00BF6000" w:rsidRDefault="003064CA" w:rsidP="00E82ABA">
            <w:pPr>
              <w:pStyle w:val="TableDataUnpadded"/>
            </w:pPr>
            <w:r>
              <w:t>Datroway</w:t>
            </w:r>
          </w:p>
        </w:tc>
        <w:tc>
          <w:tcPr>
            <w:tcW w:w="5595" w:type="dxa"/>
          </w:tcPr>
          <w:p w14:paraId="7E26A004" w14:textId="4367956B" w:rsidR="00585FFF" w:rsidRPr="00BF6000" w:rsidRDefault="003064CA" w:rsidP="00BF6000">
            <w:pPr>
              <w:pStyle w:val="TableDataUnpadded"/>
            </w:pPr>
            <w:proofErr w:type="spellStart"/>
            <w:r>
              <w:rPr>
                <w:rStyle w:val="normaltextrun"/>
              </w:rPr>
              <w:t>datopotamab</w:t>
            </w:r>
            <w:proofErr w:type="spellEnd"/>
            <w:r>
              <w:rPr>
                <w:rStyle w:val="normaltextrun"/>
              </w:rPr>
              <w:t xml:space="preserve"> </w:t>
            </w:r>
            <w:proofErr w:type="spellStart"/>
            <w:r>
              <w:rPr>
                <w:rStyle w:val="normaltextrun"/>
              </w:rPr>
              <w:t>deruxtecan-dlnk</w:t>
            </w:r>
            <w:proofErr w:type="spellEnd"/>
          </w:p>
        </w:tc>
      </w:tr>
    </w:tbl>
    <w:bookmarkEnd w:id="0"/>
    <w:p w14:paraId="14CE6108" w14:textId="0D115C87" w:rsidR="00FC1AAD" w:rsidRPr="00BF6000" w:rsidRDefault="00ED052F" w:rsidP="00FF66BF">
      <w:pPr>
        <w:pStyle w:val="Heading2"/>
        <w:tabs>
          <w:tab w:val="left" w:pos="9195"/>
        </w:tabs>
      </w:pPr>
      <w:r w:rsidRPr="00BF6000">
        <w:t>Indications</w:t>
      </w:r>
    </w:p>
    <w:p w14:paraId="4ECC6CDC" w14:textId="1DDA770B" w:rsidR="00124366" w:rsidRPr="00BF6000" w:rsidRDefault="00124366" w:rsidP="00124366">
      <w:pPr>
        <w:pStyle w:val="BodyText"/>
      </w:pPr>
      <w:r w:rsidRPr="00BF6000">
        <w:rPr>
          <w:rStyle w:val="normaltextrun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3F37760" w:rsidR="00ED052F" w:rsidRPr="00BF6000" w:rsidRDefault="00ED052F" w:rsidP="00ED052F">
      <w:pPr>
        <w:pStyle w:val="Heading3"/>
        <w:keepNext w:val="0"/>
      </w:pPr>
      <w:r w:rsidRPr="00BF6000">
        <w:t>FDA-approved Indications</w:t>
      </w:r>
      <w:r w:rsidR="007B7DEA" w:rsidRPr="00BF6000">
        <w:rPr>
          <w:vertAlign w:val="superscript"/>
        </w:rPr>
        <w:t>1</w:t>
      </w:r>
    </w:p>
    <w:p w14:paraId="3314BF54" w14:textId="64342020" w:rsidR="00EF71D5" w:rsidRDefault="00EF71D5" w:rsidP="00EA4063">
      <w:pPr>
        <w:spacing w:before="120" w:after="120"/>
      </w:pPr>
      <w:r>
        <w:t>Datroway is indicated for the treatment of adult patients with locally advanced or metastatic epidermal growth factor receptor (EGFR)-mutated non-small cell lung cancer (NSCLC) who have received prior EGFR-directed therapy and platinum-based chemotherapy.</w:t>
      </w:r>
    </w:p>
    <w:p w14:paraId="359CB5CE" w14:textId="3EC15426" w:rsidR="003064CA" w:rsidRPr="003064CA" w:rsidRDefault="003064CA" w:rsidP="00EA4063">
      <w:pPr>
        <w:spacing w:before="120" w:after="120"/>
      </w:pPr>
      <w:r w:rsidRPr="003064CA">
        <w:t>Datroway</w:t>
      </w:r>
      <w:r w:rsidR="00124366" w:rsidRPr="003064CA">
        <w:t xml:space="preserve"> is indicated for the treatment of adult patients with unresectable or metastatic hormone receptor (HR)-positive, human epidermal growth factor receptor 2 (HER2)-negative (IHC 0, IHC 1+ or IHC 2+/ISH-) breast cancer who have received endocrine based therapy</w:t>
      </w:r>
      <w:r>
        <w:t xml:space="preserve"> and chemotherapy for unresectable or metastatic disease.</w:t>
      </w:r>
    </w:p>
    <w:p w14:paraId="7459D6DA" w14:textId="7199CD65" w:rsidR="00401820" w:rsidRPr="00EA4063" w:rsidRDefault="009A5649" w:rsidP="00EA4063">
      <w:pPr>
        <w:spacing w:before="120" w:after="120"/>
      </w:pPr>
      <w:r w:rsidRPr="00BF6000">
        <w:t xml:space="preserve">All other indications are considered experimental/investigational and </w:t>
      </w:r>
      <w:r w:rsidRPr="00EA4063">
        <w:t>not medically necessary.</w:t>
      </w:r>
    </w:p>
    <w:p w14:paraId="36381B6D" w14:textId="6CAE83F0" w:rsidR="000D2496" w:rsidRPr="00BF6000" w:rsidRDefault="000D2496" w:rsidP="000D2496">
      <w:pPr>
        <w:pStyle w:val="Heading2"/>
      </w:pPr>
      <w:r w:rsidRPr="00BF6000">
        <w:lastRenderedPageBreak/>
        <w:t>Documentation</w:t>
      </w:r>
    </w:p>
    <w:p w14:paraId="50F04A39" w14:textId="27606616" w:rsidR="005531E9" w:rsidRPr="00BF6000" w:rsidRDefault="005531E9" w:rsidP="005531E9">
      <w:pPr>
        <w:pStyle w:val="BodyText"/>
      </w:pPr>
      <w:r w:rsidRPr="00BF6000">
        <w:t xml:space="preserve">Submission of the following information is necessary to initiate the prior authorization review: Test results confirming status of the following </w:t>
      </w:r>
      <w:r w:rsidR="00EF71D5">
        <w:t>(</w:t>
      </w:r>
      <w:r w:rsidR="00EF71D5" w:rsidRPr="00BF6000">
        <w:t>where applicable</w:t>
      </w:r>
      <w:r w:rsidR="00EF71D5">
        <w:t>)</w:t>
      </w:r>
      <w:r w:rsidRPr="00BF6000">
        <w:t>:</w:t>
      </w:r>
    </w:p>
    <w:p w14:paraId="2D5C52C3" w14:textId="27A1F738" w:rsidR="005531E9" w:rsidRPr="00BF6000" w:rsidRDefault="005531E9" w:rsidP="005531E9">
      <w:pPr>
        <w:pStyle w:val="ListParagraph"/>
        <w:rPr>
          <w:color w:val="auto"/>
        </w:rPr>
      </w:pPr>
      <w:r w:rsidRPr="00BF6000">
        <w:rPr>
          <w:color w:val="auto"/>
        </w:rPr>
        <w:t>Human epidermal growth factor receptor 2 (HER2)</w:t>
      </w:r>
    </w:p>
    <w:p w14:paraId="49DFC573" w14:textId="6E0915D7" w:rsidR="005531E9" w:rsidRPr="00BF6000" w:rsidRDefault="005531E9" w:rsidP="005531E9">
      <w:pPr>
        <w:pStyle w:val="ListParagraph"/>
        <w:rPr>
          <w:color w:val="auto"/>
        </w:rPr>
      </w:pPr>
      <w:r w:rsidRPr="00BF6000">
        <w:rPr>
          <w:color w:val="auto"/>
        </w:rPr>
        <w:t>Estrogen</w:t>
      </w:r>
      <w:r w:rsidR="00EF71D5">
        <w:rPr>
          <w:color w:val="auto"/>
        </w:rPr>
        <w:t xml:space="preserve"> receptor</w:t>
      </w:r>
    </w:p>
    <w:p w14:paraId="79C47276" w14:textId="4B143B2D" w:rsidR="00C75C02" w:rsidRDefault="005531E9" w:rsidP="00C75C02">
      <w:pPr>
        <w:pStyle w:val="ListParagraph"/>
        <w:rPr>
          <w:color w:val="auto"/>
        </w:rPr>
      </w:pPr>
      <w:r w:rsidRPr="00BF6000">
        <w:rPr>
          <w:color w:val="auto"/>
        </w:rPr>
        <w:t>Progesterone</w:t>
      </w:r>
      <w:r w:rsidR="00EF71D5">
        <w:rPr>
          <w:color w:val="auto"/>
        </w:rPr>
        <w:t xml:space="preserve"> receptor</w:t>
      </w:r>
    </w:p>
    <w:p w14:paraId="3C10E0B3" w14:textId="5817C831" w:rsidR="00EF71D5" w:rsidRPr="00BF6000" w:rsidRDefault="00EF71D5" w:rsidP="00C75C02">
      <w:pPr>
        <w:pStyle w:val="ListParagraph"/>
        <w:rPr>
          <w:color w:val="auto"/>
        </w:rPr>
      </w:pPr>
      <w:r>
        <w:rPr>
          <w:color w:val="auto"/>
        </w:rPr>
        <w:t>EGFR mutation testing</w:t>
      </w:r>
    </w:p>
    <w:p w14:paraId="50A38FBA" w14:textId="71B101D1" w:rsidR="00FE0C63" w:rsidRPr="00BF6000" w:rsidRDefault="00685107" w:rsidP="00E050E1">
      <w:pPr>
        <w:pStyle w:val="Heading2"/>
      </w:pPr>
      <w:r w:rsidRPr="00BF6000">
        <w:t>Coverage Criteria</w:t>
      </w:r>
    </w:p>
    <w:p w14:paraId="6CD32B3C" w14:textId="3B99C175" w:rsidR="00132858" w:rsidRPr="00BF6000" w:rsidRDefault="00132858" w:rsidP="003F528E">
      <w:pPr>
        <w:pStyle w:val="Heading3"/>
      </w:pPr>
      <w:r w:rsidRPr="00BF6000">
        <w:t>Breast cancer</w:t>
      </w:r>
      <w:r w:rsidR="0080346C" w:rsidRPr="00BF6000">
        <w:rPr>
          <w:vertAlign w:val="superscript"/>
        </w:rPr>
        <w:t>1</w:t>
      </w:r>
    </w:p>
    <w:p w14:paraId="7C2E9FEB" w14:textId="482B50A6" w:rsidR="00132858" w:rsidRPr="00BF6000" w:rsidRDefault="00132858" w:rsidP="003F528E">
      <w:pPr>
        <w:pStyle w:val="BodyText"/>
      </w:pPr>
      <w:r w:rsidRPr="00BF6000">
        <w:t xml:space="preserve">Authorization of 12 months may be granted for treatment of breast cancer when </w:t>
      </w:r>
      <w:proofErr w:type="gramStart"/>
      <w:r w:rsidR="00B94CAF">
        <w:t>all</w:t>
      </w:r>
      <w:r w:rsidRPr="00BF6000">
        <w:t xml:space="preserve"> of</w:t>
      </w:r>
      <w:proofErr w:type="gramEnd"/>
      <w:r w:rsidRPr="00BF6000">
        <w:t xml:space="preserve"> the following criteria are met:</w:t>
      </w:r>
    </w:p>
    <w:p w14:paraId="64A09CE3" w14:textId="77777777" w:rsidR="00B94CAF" w:rsidRDefault="00132858" w:rsidP="00B94CAF">
      <w:pPr>
        <w:pStyle w:val="ListParagraph"/>
        <w:numPr>
          <w:ilvl w:val="0"/>
          <w:numId w:val="21"/>
        </w:numPr>
      </w:pPr>
      <w:r w:rsidRPr="003064CA">
        <w:t xml:space="preserve">The disease is </w:t>
      </w:r>
      <w:r w:rsidR="00B94CAF">
        <w:t>unresectable or metastatic</w:t>
      </w:r>
    </w:p>
    <w:p w14:paraId="48AA368E" w14:textId="77777777" w:rsidR="00B94CAF" w:rsidRDefault="00132858" w:rsidP="00B94CAF">
      <w:pPr>
        <w:pStyle w:val="ListParagraph"/>
        <w:numPr>
          <w:ilvl w:val="0"/>
          <w:numId w:val="21"/>
        </w:numPr>
      </w:pPr>
      <w:r w:rsidRPr="00B94CAF">
        <w:t xml:space="preserve">The cancer cells are hormone receptor positive and </w:t>
      </w:r>
      <w:r w:rsidR="00B94CAF">
        <w:t>HER2-</w:t>
      </w:r>
      <w:r w:rsidRPr="00B94CAF">
        <w:t>negative.</w:t>
      </w:r>
    </w:p>
    <w:p w14:paraId="75FF741A" w14:textId="2FC2D0AD" w:rsidR="00132858" w:rsidRDefault="00132858" w:rsidP="00B94CAF">
      <w:pPr>
        <w:pStyle w:val="ListParagraph"/>
        <w:numPr>
          <w:ilvl w:val="0"/>
          <w:numId w:val="21"/>
        </w:numPr>
      </w:pPr>
      <w:r w:rsidRPr="00B94CAF">
        <w:t xml:space="preserve">The member has received prior treatment including </w:t>
      </w:r>
      <w:r w:rsidR="00B94CAF">
        <w:t>endocrine based therapy and chemotherapy for unresectable or metastatic disease</w:t>
      </w:r>
    </w:p>
    <w:p w14:paraId="55E10810" w14:textId="727C5D9A" w:rsidR="00EF71D5" w:rsidRPr="00BF6000" w:rsidRDefault="00EF71D5" w:rsidP="00EF71D5">
      <w:pPr>
        <w:pStyle w:val="Heading3"/>
      </w:pPr>
      <w:r w:rsidRPr="008C0334">
        <w:t>Non-small cell lung cancer (NSCLC)</w:t>
      </w:r>
      <w:r w:rsidRPr="00BF6000">
        <w:rPr>
          <w:vertAlign w:val="superscript"/>
        </w:rPr>
        <w:t>1</w:t>
      </w:r>
    </w:p>
    <w:p w14:paraId="34FF2BA0" w14:textId="6912A547" w:rsidR="00EF71D5" w:rsidRPr="00BF6000" w:rsidRDefault="00EF71D5" w:rsidP="00EF71D5">
      <w:pPr>
        <w:pStyle w:val="BodyText"/>
      </w:pPr>
      <w:r w:rsidRPr="00BF6000">
        <w:t xml:space="preserve">Authorization of 12 months may be granted for treatment of </w:t>
      </w:r>
      <w:r w:rsidR="00EA315B">
        <w:t xml:space="preserve">non-small cell lung </w:t>
      </w:r>
      <w:r w:rsidRPr="00BF6000">
        <w:t xml:space="preserve">cancer when </w:t>
      </w:r>
      <w:proofErr w:type="gramStart"/>
      <w:r>
        <w:t>all</w:t>
      </w:r>
      <w:r w:rsidRPr="00BF6000">
        <w:t xml:space="preserve"> of</w:t>
      </w:r>
      <w:proofErr w:type="gramEnd"/>
      <w:r w:rsidRPr="00BF6000">
        <w:t xml:space="preserve"> the following criteria are met:</w:t>
      </w:r>
    </w:p>
    <w:p w14:paraId="3C395C7C" w14:textId="3EB59E96" w:rsidR="00EF71D5" w:rsidRDefault="00EF71D5" w:rsidP="00EF71D5">
      <w:pPr>
        <w:pStyle w:val="ListParagraph"/>
        <w:numPr>
          <w:ilvl w:val="0"/>
          <w:numId w:val="21"/>
        </w:numPr>
      </w:pPr>
      <w:r w:rsidRPr="003064CA">
        <w:t xml:space="preserve">The disease is </w:t>
      </w:r>
      <w:r w:rsidR="00EA315B">
        <w:t>locally advanced</w:t>
      </w:r>
      <w:r>
        <w:t xml:space="preserve"> or metastatic</w:t>
      </w:r>
    </w:p>
    <w:p w14:paraId="6DB8AD7B" w14:textId="3ABA981D" w:rsidR="00EF71D5" w:rsidRDefault="00EA315B" w:rsidP="00B94CAF">
      <w:pPr>
        <w:pStyle w:val="ListParagraph"/>
        <w:numPr>
          <w:ilvl w:val="0"/>
          <w:numId w:val="21"/>
        </w:numPr>
      </w:pPr>
      <w:r>
        <w:t>The tumor is EGFR mutation positive</w:t>
      </w:r>
    </w:p>
    <w:p w14:paraId="63E74373" w14:textId="47DBC722" w:rsidR="00EA315B" w:rsidRPr="00B94CAF" w:rsidRDefault="00EA315B" w:rsidP="00B94CAF">
      <w:pPr>
        <w:pStyle w:val="ListParagraph"/>
        <w:numPr>
          <w:ilvl w:val="0"/>
          <w:numId w:val="21"/>
        </w:numPr>
      </w:pPr>
      <w:r>
        <w:t>The member has received prior treatment with EGFR-directed therapy (e.g., osimertinib) and platinum-based chemotherapy</w:t>
      </w:r>
    </w:p>
    <w:p w14:paraId="3A643EC3" w14:textId="0A474764" w:rsidR="00A501AC" w:rsidRPr="00BF6000" w:rsidRDefault="00A501AC" w:rsidP="00A501AC">
      <w:pPr>
        <w:pStyle w:val="Heading2"/>
      </w:pPr>
      <w:r w:rsidRPr="00BF6000">
        <w:t>Continuation of Therapy</w:t>
      </w:r>
    </w:p>
    <w:p w14:paraId="0BC9FFD3" w14:textId="7E8819A0" w:rsidR="00FD000B" w:rsidRPr="00BF6000" w:rsidRDefault="000D019C" w:rsidP="000D019C">
      <w:pPr>
        <w:pStyle w:val="BodyText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BF6000">
        <w:rPr>
          <w:rStyle w:val="normaltextrun"/>
        </w:rPr>
        <w:t xml:space="preserve">Authorization of 12 months may be granted for continued treatment in members requesting reauthorization for an indication listed in </w:t>
      </w:r>
      <w:r w:rsidR="00AF5A93" w:rsidRPr="00BF6000">
        <w:rPr>
          <w:rStyle w:val="normaltextrun"/>
        </w:rPr>
        <w:t>the coverage criteria section</w:t>
      </w:r>
      <w:r w:rsidRPr="00BF6000">
        <w:rPr>
          <w:rStyle w:val="normaltextrun"/>
        </w:rPr>
        <w:t xml:space="preserve"> when there is no evidence of unacceptable toxicity or disease progression while on the current regimen.</w:t>
      </w:r>
    </w:p>
    <w:p w14:paraId="10DA4309" w14:textId="464C1C84" w:rsidR="00FF66BF" w:rsidRPr="00BF6000" w:rsidRDefault="00FF66BF" w:rsidP="00FF66BF">
      <w:pPr>
        <w:pStyle w:val="Heading2"/>
      </w:pPr>
      <w:r w:rsidRPr="00BF6000">
        <w:t>References</w:t>
      </w:r>
    </w:p>
    <w:p w14:paraId="134EADA7" w14:textId="1913F531" w:rsidR="00B87D7B" w:rsidRPr="00BF6000" w:rsidRDefault="003064CA" w:rsidP="00CB1070">
      <w:pPr>
        <w:pStyle w:val="ReferenceOrdered"/>
      </w:pPr>
      <w:r>
        <w:t>Datroway</w:t>
      </w:r>
      <w:r w:rsidR="00AB3130" w:rsidRPr="00BF6000">
        <w:t xml:space="preserve"> [package insert]. </w:t>
      </w:r>
      <w:r w:rsidR="00B94CAF">
        <w:t>Basking Ridge, NJ</w:t>
      </w:r>
      <w:r w:rsidR="00AB3130" w:rsidRPr="00BF6000">
        <w:t xml:space="preserve">: </w:t>
      </w:r>
      <w:r w:rsidR="00B94CAF">
        <w:t>Daiichi Sankyo</w:t>
      </w:r>
      <w:r w:rsidR="00AB3130" w:rsidRPr="00BF6000">
        <w:t xml:space="preserve">, Inc; </w:t>
      </w:r>
      <w:r w:rsidR="00EF71D5">
        <w:t xml:space="preserve">June </w:t>
      </w:r>
      <w:r w:rsidR="00B94CAF">
        <w:t>2025</w:t>
      </w:r>
      <w:r w:rsidR="00AB3130" w:rsidRPr="00BF6000">
        <w:t>.</w:t>
      </w:r>
    </w:p>
    <w:sectPr w:rsidR="00B87D7B" w:rsidRPr="00BF6000" w:rsidSect="00EA4063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424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A3D9" w14:textId="77777777" w:rsidR="00657C8E" w:rsidRDefault="00657C8E">
      <w:r>
        <w:separator/>
      </w:r>
    </w:p>
  </w:endnote>
  <w:endnote w:type="continuationSeparator" w:id="0">
    <w:p w14:paraId="277CE8C0" w14:textId="77777777" w:rsidR="00657C8E" w:rsidRDefault="00657C8E">
      <w:r>
        <w:continuationSeparator/>
      </w:r>
    </w:p>
  </w:endnote>
  <w:endnote w:type="continuationNotice" w:id="1">
    <w:p w14:paraId="7478FD14" w14:textId="77777777" w:rsidR="00657C8E" w:rsidRDefault="00657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2D0DA1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A4063" w:rsidRPr="00EA4063">
      <w:rPr>
        <w:rFonts w:cs="Arial"/>
        <w:noProof/>
        <w:sz w:val="16"/>
        <w:szCs w:val="16"/>
      </w:rPr>
      <w:t>Datroway</w:t>
    </w:r>
    <w:r w:rsidR="00EA4063">
      <w:rPr>
        <w:rFonts w:cs="Arial"/>
        <w:noProof/>
        <w:snapToGrid w:val="0"/>
        <w:color w:val="000000"/>
        <w:sz w:val="16"/>
        <w:szCs w:val="16"/>
      </w:rPr>
      <w:t xml:space="preserve"> SGM 6816-A</w:t>
    </w:r>
    <w:r w:rsidR="00EA4063" w:rsidRPr="00EA4063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064C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9D1C15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913F381" w:rsidR="00F75C81" w:rsidRPr="00AA1E6A" w:rsidRDefault="00C36B72" w:rsidP="00CB107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214D9B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A4063" w:rsidRPr="00EA4063">
      <w:rPr>
        <w:rFonts w:cs="Arial"/>
        <w:noProof/>
        <w:sz w:val="16"/>
        <w:szCs w:val="16"/>
      </w:rPr>
      <w:t>Datroway</w:t>
    </w:r>
    <w:r w:rsidR="00EA4063">
      <w:rPr>
        <w:rFonts w:cs="Arial"/>
        <w:noProof/>
        <w:snapToGrid w:val="0"/>
        <w:color w:val="000000"/>
        <w:sz w:val="16"/>
        <w:szCs w:val="16"/>
      </w:rPr>
      <w:t xml:space="preserve"> SGM 6816-A</w:t>
    </w:r>
    <w:r w:rsidR="00EA4063" w:rsidRPr="00EA4063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064C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B5800E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17D03EB" w:rsidR="00ED04EC" w:rsidRPr="00F50D98" w:rsidRDefault="00F50D98" w:rsidP="00CB107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C4945" w14:textId="77777777" w:rsidR="00657C8E" w:rsidRDefault="00657C8E">
      <w:r>
        <w:separator/>
      </w:r>
    </w:p>
  </w:footnote>
  <w:footnote w:type="continuationSeparator" w:id="0">
    <w:p w14:paraId="6EF6210A" w14:textId="77777777" w:rsidR="00657C8E" w:rsidRDefault="00657C8E">
      <w:r>
        <w:continuationSeparator/>
      </w:r>
    </w:p>
  </w:footnote>
  <w:footnote w:type="continuationNotice" w:id="1">
    <w:p w14:paraId="07449965" w14:textId="77777777" w:rsidR="00657C8E" w:rsidRDefault="00657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F6000" w:rsidRPr="00BF6000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F600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BF6000">
            <w:rPr>
              <w:rFonts w:cs="Arial"/>
              <w:sz w:val="16"/>
              <w:szCs w:val="16"/>
            </w:rPr>
            <w:t>Reference number(s)</w:t>
          </w:r>
        </w:p>
      </w:tc>
    </w:tr>
    <w:tr w:rsidR="00BF6000" w:rsidRPr="00BF6000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F222CA0" w:rsidR="002C5070" w:rsidRPr="00BF6000" w:rsidRDefault="00416C40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6816</w:t>
          </w:r>
          <w:r w:rsidR="00CB1070" w:rsidRPr="00BF6000">
            <w:rPr>
              <w:rFonts w:cs="Arial"/>
              <w:sz w:val="16"/>
              <w:szCs w:val="16"/>
            </w:rPr>
            <w:t>-</w:t>
          </w:r>
          <w:r w:rsidR="002C5070" w:rsidRPr="00BF6000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B60B0"/>
    <w:multiLevelType w:val="hybridMultilevel"/>
    <w:tmpl w:val="14AEC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17"/>
  </w:num>
  <w:num w:numId="3" w16cid:durableId="611589570">
    <w:abstractNumId w:val="1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4"/>
  </w:num>
  <w:num w:numId="17" w16cid:durableId="2128498676">
    <w:abstractNumId w:val="19"/>
  </w:num>
  <w:num w:numId="18" w16cid:durableId="299724409">
    <w:abstractNumId w:val="16"/>
  </w:num>
  <w:num w:numId="19" w16cid:durableId="214585573">
    <w:abstractNumId w:val="13"/>
  </w:num>
  <w:num w:numId="20" w16cid:durableId="1066490929">
    <w:abstractNumId w:val="20"/>
  </w:num>
  <w:num w:numId="21" w16cid:durableId="822965061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1E81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19C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6E0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366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858"/>
    <w:rsid w:val="001344B1"/>
    <w:rsid w:val="00134671"/>
    <w:rsid w:val="0013477B"/>
    <w:rsid w:val="0013503B"/>
    <w:rsid w:val="001356EF"/>
    <w:rsid w:val="00135C9D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D3C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082A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674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33E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49E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A4F"/>
    <w:rsid w:val="002C4044"/>
    <w:rsid w:val="002C4DE3"/>
    <w:rsid w:val="002C5070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50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4CA"/>
    <w:rsid w:val="00306B2E"/>
    <w:rsid w:val="003070FF"/>
    <w:rsid w:val="00307499"/>
    <w:rsid w:val="00307DCC"/>
    <w:rsid w:val="00310A1D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84B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28E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50B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390D"/>
    <w:rsid w:val="0041471C"/>
    <w:rsid w:val="004154F5"/>
    <w:rsid w:val="0041567E"/>
    <w:rsid w:val="004159B2"/>
    <w:rsid w:val="00416C40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3FA8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583D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1E9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A07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281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C8E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DAA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488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6D07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5F3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B7DEA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41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EA5"/>
    <w:rsid w:val="007E11D7"/>
    <w:rsid w:val="007E1219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2F84"/>
    <w:rsid w:val="0080346C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5E52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6BD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E44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8F7B79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9F8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DD0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2C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E30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233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907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1F6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48F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F67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130"/>
    <w:rsid w:val="00AB3600"/>
    <w:rsid w:val="00AB3A4C"/>
    <w:rsid w:val="00AB3ACD"/>
    <w:rsid w:val="00AB3B7A"/>
    <w:rsid w:val="00AB4D92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A93"/>
    <w:rsid w:val="00AF6487"/>
    <w:rsid w:val="00AF6F09"/>
    <w:rsid w:val="00B00963"/>
    <w:rsid w:val="00B01716"/>
    <w:rsid w:val="00B01BDE"/>
    <w:rsid w:val="00B02279"/>
    <w:rsid w:val="00B03227"/>
    <w:rsid w:val="00B037EE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25F9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9A3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87D7B"/>
    <w:rsid w:val="00B9125F"/>
    <w:rsid w:val="00B916FF"/>
    <w:rsid w:val="00B92FFE"/>
    <w:rsid w:val="00B93BBA"/>
    <w:rsid w:val="00B94445"/>
    <w:rsid w:val="00B9493B"/>
    <w:rsid w:val="00B94CAF"/>
    <w:rsid w:val="00B97115"/>
    <w:rsid w:val="00B976D7"/>
    <w:rsid w:val="00BA02AD"/>
    <w:rsid w:val="00BA06AE"/>
    <w:rsid w:val="00BA11F3"/>
    <w:rsid w:val="00BA1748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000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1FBF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AD5"/>
    <w:rsid w:val="00C55C44"/>
    <w:rsid w:val="00C55C7E"/>
    <w:rsid w:val="00C600E7"/>
    <w:rsid w:val="00C60692"/>
    <w:rsid w:val="00C60873"/>
    <w:rsid w:val="00C60AD4"/>
    <w:rsid w:val="00C6155D"/>
    <w:rsid w:val="00C61662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070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36C"/>
    <w:rsid w:val="00D0573D"/>
    <w:rsid w:val="00D0592B"/>
    <w:rsid w:val="00D062C3"/>
    <w:rsid w:val="00D06BF8"/>
    <w:rsid w:val="00D07FF9"/>
    <w:rsid w:val="00D10EEE"/>
    <w:rsid w:val="00D117D3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129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347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2D8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584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96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088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87F8E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15B"/>
    <w:rsid w:val="00EA3622"/>
    <w:rsid w:val="00EA36F5"/>
    <w:rsid w:val="00EA3852"/>
    <w:rsid w:val="00EA3B26"/>
    <w:rsid w:val="00EA3C51"/>
    <w:rsid w:val="00EA3CCE"/>
    <w:rsid w:val="00EA4048"/>
    <w:rsid w:val="00EA4063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B32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1D5"/>
    <w:rsid w:val="00EF7611"/>
    <w:rsid w:val="00EF7741"/>
    <w:rsid w:val="00EF78D0"/>
    <w:rsid w:val="00EF7C69"/>
    <w:rsid w:val="00F00080"/>
    <w:rsid w:val="00F00778"/>
    <w:rsid w:val="00F01821"/>
    <w:rsid w:val="00F01D9B"/>
    <w:rsid w:val="00F01E9F"/>
    <w:rsid w:val="00F043C9"/>
    <w:rsid w:val="00F04FA6"/>
    <w:rsid w:val="00F0554B"/>
    <w:rsid w:val="00F07EE5"/>
    <w:rsid w:val="00F10609"/>
    <w:rsid w:val="00F116E5"/>
    <w:rsid w:val="00F11DB4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7AC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scxw68114875">
    <w:name w:val="scxw68114875"/>
    <w:basedOn w:val="DefaultParagraphFont"/>
    <w:rsid w:val="00124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8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23291-D3EB-4B9E-9908-309E2273CF30}"/>
</file>

<file path=customXml/itemProps3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Datroway SGM 6816-A</vt:lpstr>
    </vt:vector>
  </TitlesOfParts>
  <Company>CVS Caremark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Datroway SGM 6816-A</dc:title>
  <dc:subject>Datroway SGM 6816-A</dc:subject>
  <dc:creator>CVS Caremark</dc:creator>
  <cp:keywords/>
  <cp:lastModifiedBy>Reynoso, Victor H</cp:lastModifiedBy>
  <cp:revision>3</cp:revision>
  <cp:lastPrinted>2018-01-09T05:01:00Z</cp:lastPrinted>
  <dcterms:created xsi:type="dcterms:W3CDTF">2025-07-11T14:22:00Z</dcterms:created>
  <dcterms:modified xsi:type="dcterms:W3CDTF">2025-07-11T14:24:00Z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334100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